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DA" w:rsidRDefault="009421DA" w:rsidP="0033022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b/>
          <w:bCs/>
          <w:color w:val="663405"/>
          <w:sz w:val="16"/>
          <w:szCs w:val="16"/>
          <w:lang w:eastAsia="ru-RU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9421DA" w:rsidRPr="006225F9" w:rsidRDefault="009421DA" w:rsidP="0033022B">
      <w:pPr>
        <w:shd w:val="clear" w:color="auto" w:fill="FFFFFF"/>
        <w:spacing w:line="240" w:lineRule="auto"/>
        <w:jc w:val="right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Часть 1</w:t>
      </w:r>
    </w:p>
    <w:tbl>
      <w:tblPr>
        <w:tblW w:w="154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"/>
        <w:gridCol w:w="1308"/>
        <w:gridCol w:w="2048"/>
        <w:gridCol w:w="1320"/>
        <w:gridCol w:w="1760"/>
        <w:gridCol w:w="1760"/>
        <w:gridCol w:w="1540"/>
        <w:gridCol w:w="1520"/>
        <w:gridCol w:w="1244"/>
        <w:gridCol w:w="1443"/>
        <w:gridCol w:w="1231"/>
      </w:tblGrid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1. Общие сведения об объекте</w:t>
            </w:r>
          </w:p>
        </w:tc>
        <w:tc>
          <w:tcPr>
            <w:tcW w:w="54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Адрес ОСИ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Номер паспорта доступности ОСИ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Вышестоящая организация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Виды оказываемых</w:t>
            </w:r>
          </w:p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 услуг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Категории населения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Категории инвалидов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дополнительного образования в сфере культуры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8348FD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652592, Россия, Ленинск-Кузнецкий район, село Панфилово,  улица Советская, дом 12 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36A08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«Детская музыкальная школа № 59»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Муниципальное казенное учреждение культуры «Отдел культуры администрации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услуг в области образования в сфере культуры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Физические лица, имеющие необходимые для освоения соответствующей программы творческие способности и физические данные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651B2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дополнительного образования в сфере культуры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8348FD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652576, Россия, Ленинск-Кузнецкий район, село Красное,  улица  40 лет Октября, дом 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36A08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«Детская  школа  искусств № 44»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культуры «Отдел культуры администрации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услуг в области образования в сфере культуры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Физические лица, имеющие необходимые для освоения соответствующей программы творческие способности и физические данные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Учреждение дополнительного образования в сфере культуры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652580, Россия, Ленинск-Кузнецкий район, поселок Восходящий,,  переулок Школьный, дом 5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 бюджетное образовательное  учреждение дополнительного образования «Детская  школа  искусств № 38»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культуры «Отдел культуры администрации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Предоставление услуг в области образования в сфере культуры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Физические лица, имеющие необходимые для освоения соответствующей программы творческие способности и физические данные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421DA" w:rsidRDefault="009421DA"/>
    <w:p w:rsidR="009421DA" w:rsidRDefault="009421DA"/>
    <w:tbl>
      <w:tblPr>
        <w:tblW w:w="154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"/>
        <w:gridCol w:w="1308"/>
        <w:gridCol w:w="2048"/>
        <w:gridCol w:w="1320"/>
        <w:gridCol w:w="1760"/>
        <w:gridCol w:w="1760"/>
        <w:gridCol w:w="1540"/>
        <w:gridCol w:w="1520"/>
        <w:gridCol w:w="1244"/>
        <w:gridCol w:w="1443"/>
        <w:gridCol w:w="1231"/>
      </w:tblGrid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 музейного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028D8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652576, Россия, Ленинск-Кузнецкий район, село Красное,  улица  Кирова, дом 63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культуры «Музей истории крестьянского быта с. Красного»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культуры «Отдел культуры администрации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Публичный показ музейных предметов, музейных коллекций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652572, Россия, Ленинск-Кузнецкий район, поселок Чкаловский, улица 50 лет Октября, дом 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Районный Дом культуры поселка Чкаловский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028D8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0028D8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652576, Россия, Ленинск-Кузнецкий район, село Красное, улица  Чапаева, дом 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Красного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214F70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652594, Россия, Ленинск-Кузнецкий район, деревня Красноярка, улица  Центральная , дом 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деревни Красноярка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652593, Россия, Ленинск-Кузнецкий район, деревня Красноярка, улица  Молодежная, дом  29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деревни Новогеоргиевка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652580, Россия, Ленинск-Кузнецкий район, поселок Восходящий,,  переулок Школьный, дом 5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Восходящий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652590, Россия, Ленинск-Кузнецкий район, поселок Демьяновка,  улица Чкалова, дом 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Демьяновка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421DA" w:rsidRDefault="009421DA"/>
    <w:tbl>
      <w:tblPr>
        <w:tblW w:w="154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"/>
        <w:gridCol w:w="1308"/>
        <w:gridCol w:w="2048"/>
        <w:gridCol w:w="1320"/>
        <w:gridCol w:w="1760"/>
        <w:gridCol w:w="1760"/>
        <w:gridCol w:w="1540"/>
        <w:gridCol w:w="1520"/>
        <w:gridCol w:w="1244"/>
        <w:gridCol w:w="1443"/>
        <w:gridCol w:w="1231"/>
      </w:tblGrid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652582, Россия, Ленинск-Кузнецкий район, поселок Ивановка,  улица Центральная, дом 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Ивановка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652584, Россия, Ленинск-Кузнецкий район, поселок Мирный,  улица Весенняя, дом 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Мирный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652574, Россия, Ленинск-Кузнецкий район, поселок Мусохраново,  улица Советская, дом 60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Мусохраново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652595, Россия, Ленинск-Кузнецкий район, поселок Свердловский,  улица Школьная, дом 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поселка Свердловский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652577, Россия, Ленинск-Кузнецкий район, село Ариничево,  улица Центрадьная, дом 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Ариничево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652571, Россия, Ленинск-Кузнецкий район, село Драченино,  переулок Рабочий, дом 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Драченино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652583, Россия, Ленинск-Кузнецкий район, село Камышино, улица Центральная, дом 54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Камышино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421DA" w:rsidRDefault="009421DA"/>
    <w:tbl>
      <w:tblPr>
        <w:tblW w:w="154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"/>
        <w:gridCol w:w="1308"/>
        <w:gridCol w:w="2048"/>
        <w:gridCol w:w="1320"/>
        <w:gridCol w:w="1760"/>
        <w:gridCol w:w="1760"/>
        <w:gridCol w:w="1540"/>
        <w:gridCol w:w="1520"/>
        <w:gridCol w:w="1244"/>
        <w:gridCol w:w="1443"/>
        <w:gridCol w:w="1231"/>
      </w:tblGrid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652592, Россия, Ленинск-Кузнецкий район, село Панфилово, улица Советская, дом 14 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селоа Панфилово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652582, Россия, Ленинск-Кузнецкий район, село Подгорного, переулок Кольцевой, дом 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Подгорного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652571, Россия, Ленинск-Кузнецкий район, село Худяшово, улица Центральная, дом 55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Худяшово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C48D2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>
            <w:pPr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652591, Россия, Ленинск-Кузнецкий район, село Чусовитино, улица Школьная, дом 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Чусовитино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культурного 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652575, Россия, Ленинск-Кузнецкий район, село Шабаново, улица Советская, дом 7 Б2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 села Шабаново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и проведение культурно-массовых мероприятий;</w:t>
            </w:r>
          </w:p>
          <w:p w:rsidR="009421DA" w:rsidRPr="006225F9" w:rsidRDefault="009421DA" w:rsidP="009C48D2">
            <w:pPr>
              <w:keepNext/>
              <w:spacing w:line="240" w:lineRule="auto"/>
              <w:outlineLvl w:val="3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библиотечного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652576, Россия, Ленинск-Кузнецкий район, село Красное,  улица  40 лет Октября, дом 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Центральная библиотека с. Красного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библиотечная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1148A9">
            <w:pPr>
              <w:keepNext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6225F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028D8"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Учреждение библиотечного обслуживания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652582, Россия, Ленинск-Кузнецкий район, село Подгорного, переулок Кольцевой, дом 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Подгорновская сельская библиотека-филиал №26</w:t>
            </w:r>
          </w:p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муниципального бюджетного учреждения культуры «Централизованная клубная система Ленинск-Кузнецкого муниципального округа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D52A66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культуры «Централизованная библиотечная система Ленинск-Кузнецкого муниципального округа»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keepNext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6225F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Все категории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Примечание. Реестр формируется в соответствии с </w:t>
      </w:r>
      <w:hyperlink r:id="rId4" w:history="1">
        <w:r w:rsidRPr="006225F9">
          <w:rPr>
            <w:rFonts w:ascii="Arial" w:hAnsi="Arial" w:cs="Arial"/>
            <w:color w:val="AE5F09"/>
            <w:sz w:val="16"/>
            <w:szCs w:val="16"/>
            <w:lang w:eastAsia="ru-RU"/>
          </w:rPr>
          <w:t>приказом</w:t>
        </w:r>
      </w:hyperlink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 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 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line="240" w:lineRule="auto"/>
        <w:jc w:val="right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Часть 2</w:t>
      </w:r>
    </w:p>
    <w:tbl>
      <w:tblPr>
        <w:tblW w:w="154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0"/>
        <w:gridCol w:w="1211"/>
        <w:gridCol w:w="1684"/>
        <w:gridCol w:w="1630"/>
        <w:gridCol w:w="1760"/>
        <w:gridCol w:w="1760"/>
        <w:gridCol w:w="1540"/>
        <w:gridCol w:w="1540"/>
        <w:gridCol w:w="1142"/>
        <w:gridCol w:w="2708"/>
      </w:tblGrid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3. Состояние доступности объекта</w:t>
            </w:r>
          </w:p>
        </w:tc>
        <w:tc>
          <w:tcPr>
            <w:tcW w:w="104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4. Управленческое решение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Вариант обустройства объекта &lt;1&gt;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Нуждаемость и очередность адаптации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Виды работ по адаптации &lt;3&gt;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Плановый период (срок) исполнения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Дата контроля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контроля &lt;5&gt;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55F09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ДП-В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  <w:tr w:rsidR="009421DA" w:rsidRPr="006225F9" w:rsidTr="000028D8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Август, 2021</w:t>
            </w:r>
          </w:p>
        </w:tc>
      </w:tr>
    </w:tbl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--------------------------------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&lt;1&gt; Указывается один из вариантов: "А", "Б".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вариант "А"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 </w:t>
      </w: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after="150"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line="240" w:lineRule="auto"/>
        <w:jc w:val="right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color w:val="663405"/>
          <w:sz w:val="16"/>
          <w:szCs w:val="16"/>
          <w:lang w:eastAsia="ru-RU"/>
        </w:rPr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"/>
        <w:gridCol w:w="3453"/>
        <w:gridCol w:w="1167"/>
        <w:gridCol w:w="1120"/>
        <w:gridCol w:w="1315"/>
        <w:gridCol w:w="1714"/>
        <w:gridCol w:w="1603"/>
        <w:gridCol w:w="1689"/>
      </w:tblGrid>
      <w:tr w:rsidR="009421DA" w:rsidRPr="006225F9" w:rsidTr="009D2836">
        <w:tc>
          <w:tcPr>
            <w:tcW w:w="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86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9421DA" w:rsidRPr="006225F9" w:rsidTr="009D283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Время движения (пешком)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9421DA" w:rsidRPr="006225F9" w:rsidTr="009D283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9421DA" w:rsidRPr="006225F9" w:rsidTr="009D283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3.1 Путь следования к объекту пассажирским транспортом</w:t>
            </w:r>
          </w:p>
          <w:p w:rsidR="009421DA" w:rsidRPr="006225F9" w:rsidRDefault="009421DA" w:rsidP="009D2836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  <w:p w:rsidR="009421DA" w:rsidRPr="006225F9" w:rsidRDefault="009421DA" w:rsidP="009D2836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адаптированного пассажирского транспорта к объекту</w:t>
            </w:r>
            <w:r w:rsidRPr="006225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 </w:t>
            </w: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D2836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  <w:p w:rsidR="009421DA" w:rsidRPr="006225F9" w:rsidRDefault="009421DA" w:rsidP="009D2836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адаптированного пассажирского транспорта к объекту</w:t>
            </w:r>
            <w:r w:rsidRPr="006225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 </w:t>
            </w: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6E5BDA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1B7FB5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E01CC6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E01CC6">
            <w:pPr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адаптированного пассажирского транспорта к объекту</w:t>
            </w:r>
            <w:r w:rsidRPr="006225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 </w:t>
            </w: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E01CC6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D283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765CC4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color w:val="000000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7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9C48D2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31503C">
            <w:pPr>
              <w:spacing w:after="150"/>
              <w:rPr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BC14FC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31503C">
            <w:pPr>
              <w:spacing w:after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945929">
        <w:trPr>
          <w:trHeight w:val="22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1DA" w:rsidRPr="006225F9" w:rsidRDefault="009421DA" w:rsidP="0031503C">
            <w:pPr>
              <w:spacing w:after="15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В населенном пункте отсутствуют маршруты движения пассажирского транспорта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200 м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  мин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9421DA" w:rsidRPr="006225F9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6225F9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p w:rsidR="009421DA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p w:rsidR="009421DA" w:rsidRPr="006225F9" w:rsidRDefault="009421DA" w:rsidP="0033022B">
      <w:pPr>
        <w:shd w:val="clear" w:color="auto" w:fill="FFFFFF"/>
        <w:spacing w:line="240" w:lineRule="auto"/>
        <w:rPr>
          <w:rFonts w:ascii="Arial" w:hAnsi="Arial" w:cs="Arial"/>
          <w:color w:val="663405"/>
          <w:sz w:val="16"/>
          <w:szCs w:val="16"/>
          <w:lang w:eastAsia="ru-RU"/>
        </w:rPr>
      </w:pP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5"/>
        <w:gridCol w:w="4273"/>
        <w:gridCol w:w="1622"/>
        <w:gridCol w:w="6235"/>
      </w:tblGrid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парковочных мест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бесплатных парковочных мест оборудованных (разметкой, соответствующим знаком)  для беспрепятственного доступа инвалидов и семей с детьми-инвалидами на принадлежащих им (перевозящих их) автотранспортных средств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«Детская музыкальная школа № 59»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«Детская  школа  искусств   №44»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Муниципальное образовательное учреждение дополнительного образования «Детская  школа  искусств № 38»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бюджетное учреждение культуры «Музей истории крестьянского быта с. Красного»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214F7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Районный Дом культуры поселка Чкаловский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Красного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деревни Красноярка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деревни Новогеоргиевка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080CC0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Восходящий 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Демьяновка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Ивановка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 Мирный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 Мусохраново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поселка  Свердловский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Ариничево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Ариничево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Камышино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Панфилово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Подгорного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Худяшово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Чусовитино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9C48D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Сельский  Дом  культуры села Шабаново муниципального бюджетного учреждения культуры «Централизованная клубная система Ленинск-Кузнецкого муниципального округа»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Центральная библиотека с. Красного муниципального бюджетного учреждения культуры «Централизованная клубная система Ленинск-Кузнецкого муниципального округа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ет </w:t>
            </w:r>
          </w:p>
        </w:tc>
      </w:tr>
      <w:tr w:rsidR="009421DA" w:rsidRPr="006225F9" w:rsidTr="00080CC0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30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Default="009421DA" w:rsidP="006225F9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Подгорновская сельская библиотека-филиал №26</w:t>
            </w:r>
          </w:p>
          <w:p w:rsidR="009421DA" w:rsidRPr="006225F9" w:rsidRDefault="009421DA" w:rsidP="006225F9">
            <w:pPr>
              <w:spacing w:after="15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25F9">
              <w:rPr>
                <w:rFonts w:ascii="Times New Roman" w:hAnsi="Times New Roman"/>
                <w:sz w:val="16"/>
                <w:szCs w:val="16"/>
              </w:rPr>
              <w:t>муниципального бюджетного учреждения культуры «Централизованная клубная система Ленинск-Кузнецкого муниципального округа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1DA" w:rsidRPr="006225F9" w:rsidRDefault="009421DA" w:rsidP="0031503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5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9421DA" w:rsidRPr="006225F9" w:rsidRDefault="009421DA" w:rsidP="0033022B">
      <w:pPr>
        <w:shd w:val="clear" w:color="auto" w:fill="FFFFFF"/>
        <w:spacing w:after="150" w:line="240" w:lineRule="auto"/>
        <w:ind w:left="300"/>
        <w:jc w:val="center"/>
        <w:rPr>
          <w:rFonts w:ascii="Arial" w:hAnsi="Arial" w:cs="Arial"/>
          <w:color w:val="663405"/>
          <w:sz w:val="16"/>
          <w:szCs w:val="16"/>
          <w:lang w:eastAsia="ru-RU"/>
        </w:rPr>
      </w:pPr>
      <w:r w:rsidRPr="006225F9">
        <w:rPr>
          <w:rFonts w:ascii="Arial" w:hAnsi="Arial" w:cs="Arial"/>
          <w:b/>
          <w:bCs/>
          <w:color w:val="663405"/>
          <w:sz w:val="16"/>
          <w:szCs w:val="16"/>
          <w:lang w:eastAsia="ru-RU"/>
        </w:rPr>
        <w:t> </w:t>
      </w:r>
    </w:p>
    <w:p w:rsidR="009421DA" w:rsidRPr="006225F9" w:rsidRDefault="009421DA">
      <w:pPr>
        <w:rPr>
          <w:sz w:val="16"/>
          <w:szCs w:val="16"/>
        </w:rPr>
      </w:pPr>
    </w:p>
    <w:sectPr w:rsidR="009421DA" w:rsidRPr="006225F9" w:rsidSect="006225F9">
      <w:pgSz w:w="16838" w:h="11906" w:orient="landscape"/>
      <w:pgMar w:top="36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22B"/>
    <w:rsid w:val="0000085A"/>
    <w:rsid w:val="000028D8"/>
    <w:rsid w:val="00080CC0"/>
    <w:rsid w:val="000863C8"/>
    <w:rsid w:val="001148A9"/>
    <w:rsid w:val="001819BB"/>
    <w:rsid w:val="001B7FB5"/>
    <w:rsid w:val="00214F70"/>
    <w:rsid w:val="002211C4"/>
    <w:rsid w:val="00236A08"/>
    <w:rsid w:val="00264B73"/>
    <w:rsid w:val="00276C75"/>
    <w:rsid w:val="002A3E95"/>
    <w:rsid w:val="0031503C"/>
    <w:rsid w:val="00322062"/>
    <w:rsid w:val="0033022B"/>
    <w:rsid w:val="00332616"/>
    <w:rsid w:val="00355F09"/>
    <w:rsid w:val="0040179C"/>
    <w:rsid w:val="00476DFB"/>
    <w:rsid w:val="004E3DF4"/>
    <w:rsid w:val="00515C02"/>
    <w:rsid w:val="00564555"/>
    <w:rsid w:val="0058201B"/>
    <w:rsid w:val="006225F9"/>
    <w:rsid w:val="00626318"/>
    <w:rsid w:val="006275F3"/>
    <w:rsid w:val="0063519C"/>
    <w:rsid w:val="00651B29"/>
    <w:rsid w:val="00677145"/>
    <w:rsid w:val="006E5BDA"/>
    <w:rsid w:val="007104E3"/>
    <w:rsid w:val="00765CC4"/>
    <w:rsid w:val="00782CCD"/>
    <w:rsid w:val="008348FD"/>
    <w:rsid w:val="00844680"/>
    <w:rsid w:val="0084788C"/>
    <w:rsid w:val="009421DA"/>
    <w:rsid w:val="00945929"/>
    <w:rsid w:val="00987E8E"/>
    <w:rsid w:val="009C48D2"/>
    <w:rsid w:val="009D2836"/>
    <w:rsid w:val="00A05481"/>
    <w:rsid w:val="00A1659B"/>
    <w:rsid w:val="00B25310"/>
    <w:rsid w:val="00BB39D7"/>
    <w:rsid w:val="00BC14FC"/>
    <w:rsid w:val="00BF1315"/>
    <w:rsid w:val="00BF39D8"/>
    <w:rsid w:val="00C65DA1"/>
    <w:rsid w:val="00CA37DF"/>
    <w:rsid w:val="00CA4756"/>
    <w:rsid w:val="00CE2618"/>
    <w:rsid w:val="00CE2F87"/>
    <w:rsid w:val="00CF584D"/>
    <w:rsid w:val="00D22FF8"/>
    <w:rsid w:val="00D52A66"/>
    <w:rsid w:val="00D56153"/>
    <w:rsid w:val="00D75EB2"/>
    <w:rsid w:val="00DB16BA"/>
    <w:rsid w:val="00E01CC6"/>
    <w:rsid w:val="00E278DD"/>
    <w:rsid w:val="00EE3DA6"/>
    <w:rsid w:val="00FE4F8A"/>
    <w:rsid w:val="00FF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0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022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302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0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0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4740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0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84F971A561BB2F67F5F1D276D4C7A68ED310CE2778566FDE240E199945AD72DEBB61071EB02D9BD7D20EBDB1eDo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14</Pages>
  <Words>4478</Words>
  <Characters>25529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user64</cp:lastModifiedBy>
  <cp:revision>43</cp:revision>
  <dcterms:created xsi:type="dcterms:W3CDTF">2021-08-18T01:47:00Z</dcterms:created>
  <dcterms:modified xsi:type="dcterms:W3CDTF">2021-10-05T03:28:00Z</dcterms:modified>
</cp:coreProperties>
</file>